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48DD" w14:textId="5B2B42C9" w:rsidR="002C31F0" w:rsidRPr="005068EE" w:rsidRDefault="002C31F0" w:rsidP="00490F82">
      <w:pPr>
        <w:pStyle w:val="Titre"/>
        <w:jc w:val="center"/>
        <w:rPr>
          <w:color w:val="002060"/>
        </w:rPr>
      </w:pPr>
      <w:r w:rsidRPr="005068EE">
        <w:rPr>
          <w:color w:val="002060"/>
        </w:rPr>
        <w:t xml:space="preserve">La CPGE ECG du lycée Saint-Charles </w:t>
      </w:r>
    </w:p>
    <w:p w14:paraId="340E0D88" w14:textId="3F637B8F" w:rsidR="00F45979" w:rsidRDefault="00F45979"/>
    <w:p w14:paraId="00BB7D90" w14:textId="77777777" w:rsidR="005068EE" w:rsidRDefault="005068EE"/>
    <w:p w14:paraId="3F5473B3" w14:textId="4DE92D11" w:rsidR="0053576A" w:rsidRPr="005068EE" w:rsidRDefault="005D63CF">
      <w:pPr>
        <w:rPr>
          <w:b/>
          <w:bCs/>
          <w:color w:val="1F4E79" w:themeColor="accent5" w:themeShade="80"/>
          <w:sz w:val="26"/>
          <w:szCs w:val="26"/>
        </w:rPr>
      </w:pPr>
      <w:r w:rsidRPr="005068EE">
        <w:rPr>
          <w:b/>
          <w:bCs/>
          <w:color w:val="1F4E79" w:themeColor="accent5" w:themeShade="80"/>
          <w:sz w:val="26"/>
          <w:szCs w:val="26"/>
        </w:rPr>
        <w:t xml:space="preserve">La </w:t>
      </w:r>
      <w:r w:rsidR="00444129" w:rsidRPr="005068EE">
        <w:rPr>
          <w:b/>
          <w:bCs/>
          <w:color w:val="1F4E79" w:themeColor="accent5" w:themeShade="80"/>
          <w:sz w:val="26"/>
          <w:szCs w:val="26"/>
        </w:rPr>
        <w:t>prépa</w:t>
      </w:r>
      <w:r w:rsidRPr="005068EE">
        <w:rPr>
          <w:b/>
          <w:bCs/>
          <w:color w:val="1F4E79" w:themeColor="accent5" w:themeShade="80"/>
          <w:sz w:val="26"/>
          <w:szCs w:val="26"/>
        </w:rPr>
        <w:t xml:space="preserve"> ECG du lycée Saint-Charles </w:t>
      </w:r>
      <w:r w:rsidR="005F479E" w:rsidRPr="005068EE">
        <w:rPr>
          <w:b/>
          <w:bCs/>
          <w:color w:val="1F4E79" w:themeColor="accent5" w:themeShade="80"/>
          <w:sz w:val="26"/>
          <w:szCs w:val="26"/>
        </w:rPr>
        <w:t>propose</w:t>
      </w:r>
      <w:r w:rsidRPr="005068EE">
        <w:rPr>
          <w:b/>
          <w:bCs/>
          <w:color w:val="1F4E79" w:themeColor="accent5" w:themeShade="80"/>
          <w:sz w:val="26"/>
          <w:szCs w:val="26"/>
        </w:rPr>
        <w:t xml:space="preserve"> le couplage</w:t>
      </w:r>
      <w:r w:rsidR="0053576A" w:rsidRPr="005068EE">
        <w:rPr>
          <w:b/>
          <w:bCs/>
          <w:color w:val="1F4E79" w:themeColor="accent5" w:themeShade="80"/>
          <w:sz w:val="26"/>
          <w:szCs w:val="26"/>
        </w:rPr>
        <w:t xml:space="preserve"> : </w:t>
      </w:r>
      <w:r w:rsidRPr="005068EE">
        <w:rPr>
          <w:b/>
          <w:bCs/>
          <w:color w:val="1F4E79" w:themeColor="accent5" w:themeShade="80"/>
          <w:sz w:val="26"/>
          <w:szCs w:val="26"/>
        </w:rPr>
        <w:t>mathématiques app</w:t>
      </w:r>
      <w:r w:rsidR="006E48F6" w:rsidRPr="005068EE">
        <w:rPr>
          <w:b/>
          <w:bCs/>
          <w:color w:val="1F4E79" w:themeColor="accent5" w:themeShade="80"/>
          <w:sz w:val="26"/>
          <w:szCs w:val="26"/>
        </w:rPr>
        <w:t>liquées</w:t>
      </w:r>
      <w:r w:rsidRPr="005068EE">
        <w:rPr>
          <w:b/>
          <w:bCs/>
          <w:color w:val="1F4E79" w:themeColor="accent5" w:themeShade="80"/>
          <w:sz w:val="26"/>
          <w:szCs w:val="26"/>
        </w:rPr>
        <w:t xml:space="preserve"> - </w:t>
      </w:r>
      <w:r w:rsidR="00444129" w:rsidRPr="005068EE">
        <w:rPr>
          <w:b/>
          <w:bCs/>
          <w:color w:val="1F4E79" w:themeColor="accent5" w:themeShade="80"/>
          <w:sz w:val="26"/>
          <w:szCs w:val="26"/>
        </w:rPr>
        <w:t>ESH</w:t>
      </w:r>
    </w:p>
    <w:p w14:paraId="384DC5C8" w14:textId="77777777" w:rsidR="0053576A" w:rsidRDefault="0053576A"/>
    <w:p w14:paraId="70E06570" w14:textId="76CE0BDB" w:rsidR="0053576A" w:rsidRDefault="0053576A">
      <w:r>
        <w:t xml:space="preserve">Le volume horaire de cette classe </w:t>
      </w:r>
      <w:r w:rsidR="005068EE">
        <w:t>est</w:t>
      </w:r>
      <w:r>
        <w:t xml:space="preserve"> le suivant :</w:t>
      </w:r>
    </w:p>
    <w:p w14:paraId="083FC726" w14:textId="71A32752" w:rsidR="0053576A" w:rsidRDefault="005D63CF">
      <w:r w:rsidRPr="005D63CF">
        <w:t>- Economie</w:t>
      </w:r>
      <w:r w:rsidR="006E48F6">
        <w:t xml:space="preserve">, </w:t>
      </w:r>
      <w:r w:rsidRPr="005D63CF">
        <w:t xml:space="preserve">Sociologie </w:t>
      </w:r>
      <w:r w:rsidR="006E48F6">
        <w:t xml:space="preserve">et </w:t>
      </w:r>
      <w:r w:rsidRPr="005D63CF">
        <w:t>Histo</w:t>
      </w:r>
      <w:r w:rsidR="0053576A">
        <w:t>i</w:t>
      </w:r>
      <w:r w:rsidRPr="005D63CF">
        <w:t>re</w:t>
      </w:r>
      <w:r w:rsidR="005F479E">
        <w:t xml:space="preserve"> du monde contemporain (ESH)</w:t>
      </w:r>
      <w:r w:rsidRPr="005D63CF">
        <w:t> : 8h</w:t>
      </w:r>
    </w:p>
    <w:p w14:paraId="760A9C21" w14:textId="073E1160" w:rsidR="0053576A" w:rsidRDefault="005D63CF">
      <w:r w:rsidRPr="005D63CF">
        <w:t xml:space="preserve">- Mathématiques </w:t>
      </w:r>
      <w:r w:rsidR="006E48F6">
        <w:t xml:space="preserve">appliquées </w:t>
      </w:r>
      <w:r w:rsidRPr="005D63CF">
        <w:t xml:space="preserve">: </w:t>
      </w:r>
      <w:r w:rsidR="006E48F6">
        <w:t>8</w:t>
      </w:r>
      <w:r w:rsidRPr="005D63CF">
        <w:t>h (</w:t>
      </w:r>
      <w:r w:rsidR="006E48F6">
        <w:t>6</w:t>
      </w:r>
      <w:r w:rsidRPr="005D63CF">
        <w:t>h cours - 2h TD)</w:t>
      </w:r>
    </w:p>
    <w:p w14:paraId="501B15B1" w14:textId="77777777" w:rsidR="0053576A" w:rsidRDefault="005D63CF">
      <w:r w:rsidRPr="005D63CF">
        <w:t>- Informatique : 1h</w:t>
      </w:r>
    </w:p>
    <w:p w14:paraId="6205E656" w14:textId="77777777" w:rsidR="0053576A" w:rsidRDefault="005D63CF">
      <w:r w:rsidRPr="005D63CF">
        <w:t>- Anglais : 3h</w:t>
      </w:r>
    </w:p>
    <w:p w14:paraId="1AD8F47C" w14:textId="4CB2C5A1" w:rsidR="0053576A" w:rsidRDefault="005D63CF">
      <w:r w:rsidRPr="005D63CF">
        <w:t>- Autre</w:t>
      </w:r>
      <w:r w:rsidR="006E48F6">
        <w:t>s</w:t>
      </w:r>
      <w:r w:rsidRPr="005D63CF">
        <w:t xml:space="preserve"> langue</w:t>
      </w:r>
      <w:r w:rsidR="006E48F6">
        <w:t>s</w:t>
      </w:r>
      <w:r w:rsidRPr="005D63CF">
        <w:t xml:space="preserve"> (espagnol, allemand, italien) : 3h</w:t>
      </w:r>
    </w:p>
    <w:p w14:paraId="018B7809" w14:textId="4C648B2F" w:rsidR="0053576A" w:rsidRDefault="005D63CF" w:rsidP="007C192D">
      <w:r w:rsidRPr="005D63CF">
        <w:t xml:space="preserve">- </w:t>
      </w:r>
      <w:r w:rsidR="007C192D">
        <w:t>Lettres et philosophie : 6h</w:t>
      </w:r>
    </w:p>
    <w:p w14:paraId="6C47343E" w14:textId="716C8998" w:rsidR="0053576A" w:rsidRDefault="005D63CF">
      <w:r w:rsidRPr="005D63CF">
        <w:br/>
        <w:t xml:space="preserve">Les débouchés naturels </w:t>
      </w:r>
      <w:r w:rsidR="0053576A">
        <w:t xml:space="preserve">de cette classe </w:t>
      </w:r>
      <w:r w:rsidRPr="005D63CF">
        <w:t>sont évidemment les écoles de management, une poursuite d'étude en université (économie, mathématiques et sciences sociales), l'école normale supérieure</w:t>
      </w:r>
      <w:r w:rsidR="0053576A">
        <w:t>…</w:t>
      </w:r>
    </w:p>
    <w:p w14:paraId="0AE2FF27" w14:textId="5A5BB57C" w:rsidR="0053576A" w:rsidRDefault="0053576A"/>
    <w:p w14:paraId="52F45919" w14:textId="77777777" w:rsidR="005068EE" w:rsidRDefault="005068EE"/>
    <w:p w14:paraId="592D5C2D" w14:textId="77777777" w:rsidR="005068EE" w:rsidRDefault="005068EE"/>
    <w:p w14:paraId="218E194E" w14:textId="3BA1ACCD" w:rsidR="0053576A" w:rsidRDefault="0053576A" w:rsidP="0053576A">
      <w:pPr>
        <w:pStyle w:val="Titre1"/>
      </w:pPr>
      <w:r>
        <w:t>Les attendus et le recrutement</w:t>
      </w:r>
    </w:p>
    <w:p w14:paraId="4E9A1323" w14:textId="77777777" w:rsidR="0053576A" w:rsidRDefault="0053576A">
      <w:r>
        <w:t>Commençons par donner les attendus nationaux proposés par le ministère pour les classes ECG, indépendamment du couplage choisi :</w:t>
      </w:r>
    </w:p>
    <w:p w14:paraId="76FF935F" w14:textId="28B90B85" w:rsidR="00962BB6" w:rsidRDefault="0053576A">
      <w:r>
        <w:t>« </w:t>
      </w:r>
      <w:r w:rsidR="005D63CF" w:rsidRPr="005D63CF">
        <w:t xml:space="preserve">S’intéresser en particulier aux sciences humaines et sociales (économie, géographie, géopolitique, histoire et sociologie), et disposer d’un bon niveau de connaissance dans celles de ces disciplines qui auront été étudiées au lycée, ainsi qu’en mathématiques et dans les disciplines constitutives des humanités : lettres, langues, philosophie. Ce niveau peut être attesté par les résultats obtenus en première, à l’épreuve anticipée de français, </w:t>
      </w:r>
      <w:r w:rsidR="006E48F6">
        <w:t xml:space="preserve">et </w:t>
      </w:r>
      <w:r w:rsidR="005D63CF" w:rsidRPr="005D63CF">
        <w:t>au cours de l’année de terminal</w:t>
      </w:r>
      <w:r w:rsidR="006E48F6">
        <w:t>e</w:t>
      </w:r>
      <w:r w:rsidR="005D63CF" w:rsidRPr="005D63CF">
        <w:t>.</w:t>
      </w:r>
    </w:p>
    <w:p w14:paraId="000AEFFE" w14:textId="77777777" w:rsidR="002B7089" w:rsidRDefault="005D63CF">
      <w:r w:rsidRPr="005D63CF">
        <w:t>Posséder des aptitudes à un travail approfondi et des capacités d’organisation.</w:t>
      </w:r>
    </w:p>
    <w:p w14:paraId="7F9B0BF3" w14:textId="3EA58631" w:rsidR="0053576A" w:rsidRDefault="005D63CF">
      <w:r w:rsidRPr="005D63CF">
        <w:t>Montrer des qualités de réflexion, d’argumentation et de rédaction et raisonner rigoureusement, à l’écrit comme à l’oral.</w:t>
      </w:r>
      <w:r w:rsidR="0053576A">
        <w:t> »</w:t>
      </w:r>
    </w:p>
    <w:p w14:paraId="5C240375" w14:textId="6FF8C4F7" w:rsidR="00C83D26" w:rsidRDefault="005D63CF">
      <w:r w:rsidRPr="005D63CF">
        <w:br/>
      </w:r>
      <w:r w:rsidR="006471B7">
        <w:t xml:space="preserve">Certaines combinaisons de spécialités en terminale sont </w:t>
      </w:r>
      <w:r w:rsidR="00962BB6">
        <w:t>naturellement</w:t>
      </w:r>
      <w:r w:rsidR="006471B7">
        <w:t xml:space="preserve"> plus cohérentes avec les enseignements proposés dans notre CPGE. </w:t>
      </w:r>
      <w:r w:rsidR="006E48F6">
        <w:t>Le choix le plus pertinent est le couplage des</w:t>
      </w:r>
      <w:r w:rsidR="006471B7">
        <w:t xml:space="preserve"> spécialités maths et </w:t>
      </w:r>
      <w:r w:rsidR="002C31F0">
        <w:t>SES</w:t>
      </w:r>
      <w:r w:rsidR="006E48F6">
        <w:t xml:space="preserve">. </w:t>
      </w:r>
      <w:r w:rsidR="00C83D26">
        <w:t>L’option « maths expertes », bien que bienvenue, n’est pas obligatoire.</w:t>
      </w:r>
    </w:p>
    <w:p w14:paraId="6BBACDF1" w14:textId="2F7A46FB" w:rsidR="00C83D26" w:rsidRDefault="006E48F6">
      <w:r>
        <w:t>La</w:t>
      </w:r>
      <w:r w:rsidR="00C83D26">
        <w:t xml:space="preserve"> lettre de motivation qui accompagne le dossier Parcoursup, sera un élément important pour permettre à l’équipe enseignante de mesurer l’adéquation du projet du postulant avec la formation et de son intérêt pour les enseignements proposés.</w:t>
      </w:r>
    </w:p>
    <w:p w14:paraId="49617D02" w14:textId="77777777" w:rsidR="005068EE" w:rsidRDefault="005068EE"/>
    <w:p w14:paraId="75777833" w14:textId="77777777" w:rsidR="005068EE" w:rsidRDefault="005068EE" w:rsidP="005068EE">
      <w:pPr>
        <w:rPr>
          <w:rFonts w:asciiTheme="majorHAnsi" w:hAnsiTheme="majorHAnsi" w:cstheme="majorHAnsi"/>
          <w:b/>
          <w:bCs/>
          <w:color w:val="1F4E79" w:themeColor="accent5" w:themeShade="80"/>
          <w:sz w:val="32"/>
          <w:szCs w:val="32"/>
        </w:rPr>
      </w:pPr>
    </w:p>
    <w:p w14:paraId="786E435D" w14:textId="77777777" w:rsidR="005068EE" w:rsidRDefault="005068EE" w:rsidP="005068EE">
      <w:pPr>
        <w:rPr>
          <w:rFonts w:asciiTheme="majorHAnsi" w:hAnsiTheme="majorHAnsi" w:cstheme="majorHAnsi"/>
          <w:b/>
          <w:bCs/>
          <w:color w:val="1F4E79" w:themeColor="accent5" w:themeShade="80"/>
          <w:sz w:val="32"/>
          <w:szCs w:val="32"/>
        </w:rPr>
      </w:pPr>
    </w:p>
    <w:p w14:paraId="66AA5EB8" w14:textId="77777777" w:rsidR="005068EE" w:rsidRDefault="005068EE" w:rsidP="005068EE">
      <w:pPr>
        <w:rPr>
          <w:rFonts w:asciiTheme="majorHAnsi" w:hAnsiTheme="majorHAnsi" w:cstheme="majorHAnsi"/>
          <w:b/>
          <w:bCs/>
          <w:color w:val="1F4E79" w:themeColor="accent5" w:themeShade="80"/>
          <w:sz w:val="32"/>
          <w:szCs w:val="32"/>
        </w:rPr>
      </w:pPr>
    </w:p>
    <w:p w14:paraId="2A4848A1" w14:textId="2A862B3D" w:rsidR="005068EE" w:rsidRPr="005068EE" w:rsidRDefault="005068EE" w:rsidP="005068EE">
      <w:pPr>
        <w:rPr>
          <w:rFonts w:asciiTheme="majorHAnsi" w:hAnsiTheme="majorHAnsi" w:cstheme="majorHAnsi"/>
          <w:b/>
          <w:bCs/>
          <w:color w:val="1F4E79" w:themeColor="accent5" w:themeShade="80"/>
          <w:sz w:val="32"/>
          <w:szCs w:val="32"/>
        </w:rPr>
      </w:pPr>
      <w:r w:rsidRPr="005068EE">
        <w:rPr>
          <w:rFonts w:asciiTheme="majorHAnsi" w:hAnsiTheme="majorHAnsi" w:cstheme="majorHAnsi"/>
          <w:b/>
          <w:bCs/>
          <w:color w:val="1F4E79" w:themeColor="accent5" w:themeShade="80"/>
          <w:sz w:val="32"/>
          <w:szCs w:val="32"/>
        </w:rPr>
        <w:lastRenderedPageBreak/>
        <w:t>Les résultats</w:t>
      </w:r>
      <w:r>
        <w:t xml:space="preserve"> </w:t>
      </w:r>
      <w:r w:rsidRPr="005068EE">
        <w:rPr>
          <w:color w:val="002060"/>
        </w:rPr>
        <w:t>de la CPGE ECE (avant la réforme de la filière)</w:t>
      </w:r>
    </w:p>
    <w:p w14:paraId="321719C9" w14:textId="77777777" w:rsidR="005068EE" w:rsidRDefault="005068EE" w:rsidP="005068EE">
      <w:r>
        <w:t>Part des étudiants intégrés admis dans une école du top 5 et du top 11</w:t>
      </w:r>
    </w:p>
    <w:tbl>
      <w:tblPr>
        <w:tblStyle w:val="Grilledutableau"/>
        <w:tblW w:w="0" w:type="auto"/>
        <w:tblInd w:w="1413" w:type="dxa"/>
        <w:tblLook w:val="04A0" w:firstRow="1" w:lastRow="0" w:firstColumn="1" w:lastColumn="0" w:noHBand="0" w:noVBand="1"/>
      </w:tblPr>
      <w:tblGrid>
        <w:gridCol w:w="992"/>
        <w:gridCol w:w="1418"/>
        <w:gridCol w:w="992"/>
      </w:tblGrid>
      <w:tr w:rsidR="005068EE" w:rsidRPr="005068EE" w14:paraId="74884C9E" w14:textId="77777777" w:rsidTr="005068EE">
        <w:tc>
          <w:tcPr>
            <w:tcW w:w="992" w:type="dxa"/>
          </w:tcPr>
          <w:p w14:paraId="774C5BB6" w14:textId="77777777" w:rsidR="005068EE" w:rsidRPr="005068EE" w:rsidRDefault="005068EE" w:rsidP="005068EE">
            <w:pPr>
              <w:spacing w:line="240" w:lineRule="auto"/>
              <w:jc w:val="center"/>
              <w:rPr>
                <w:rFonts w:asciiTheme="minorHAnsi" w:hAnsiTheme="minorHAnsi"/>
                <w:sz w:val="22"/>
              </w:rPr>
            </w:pPr>
          </w:p>
        </w:tc>
        <w:tc>
          <w:tcPr>
            <w:tcW w:w="1418" w:type="dxa"/>
          </w:tcPr>
          <w:p w14:paraId="47674489" w14:textId="00340D39" w:rsidR="005068EE" w:rsidRPr="005068EE" w:rsidRDefault="005068EE" w:rsidP="005068EE">
            <w:pPr>
              <w:spacing w:line="240" w:lineRule="auto"/>
              <w:jc w:val="center"/>
              <w:rPr>
                <w:rFonts w:asciiTheme="minorHAnsi" w:hAnsiTheme="minorHAnsi"/>
                <w:sz w:val="22"/>
              </w:rPr>
            </w:pPr>
            <w:r>
              <w:rPr>
                <w:rFonts w:asciiTheme="minorHAnsi" w:hAnsiTheme="minorHAnsi"/>
                <w:sz w:val="22"/>
              </w:rPr>
              <w:t>t</w:t>
            </w:r>
            <w:r w:rsidRPr="005068EE">
              <w:rPr>
                <w:rFonts w:asciiTheme="minorHAnsi" w:hAnsiTheme="minorHAnsi"/>
                <w:sz w:val="22"/>
              </w:rPr>
              <w:t>op 5</w:t>
            </w:r>
          </w:p>
        </w:tc>
        <w:tc>
          <w:tcPr>
            <w:tcW w:w="992" w:type="dxa"/>
          </w:tcPr>
          <w:p w14:paraId="5FBD1981"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top 11</w:t>
            </w:r>
          </w:p>
        </w:tc>
      </w:tr>
      <w:tr w:rsidR="005068EE" w:rsidRPr="005068EE" w14:paraId="4A5B8774" w14:textId="77777777" w:rsidTr="005068EE">
        <w:tc>
          <w:tcPr>
            <w:tcW w:w="992" w:type="dxa"/>
          </w:tcPr>
          <w:p w14:paraId="2BF032AD"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2015</w:t>
            </w:r>
          </w:p>
        </w:tc>
        <w:tc>
          <w:tcPr>
            <w:tcW w:w="1418" w:type="dxa"/>
          </w:tcPr>
          <w:p w14:paraId="38D4D244"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23%</w:t>
            </w:r>
          </w:p>
        </w:tc>
        <w:tc>
          <w:tcPr>
            <w:tcW w:w="992" w:type="dxa"/>
          </w:tcPr>
          <w:p w14:paraId="5793561D"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92%</w:t>
            </w:r>
          </w:p>
        </w:tc>
      </w:tr>
      <w:tr w:rsidR="005068EE" w:rsidRPr="005068EE" w14:paraId="54B4CAB9" w14:textId="77777777" w:rsidTr="005068EE">
        <w:tc>
          <w:tcPr>
            <w:tcW w:w="992" w:type="dxa"/>
          </w:tcPr>
          <w:p w14:paraId="34683CB7"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2016</w:t>
            </w:r>
          </w:p>
        </w:tc>
        <w:tc>
          <w:tcPr>
            <w:tcW w:w="1418" w:type="dxa"/>
          </w:tcPr>
          <w:p w14:paraId="1DEE0E93"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13%</w:t>
            </w:r>
          </w:p>
        </w:tc>
        <w:tc>
          <w:tcPr>
            <w:tcW w:w="992" w:type="dxa"/>
          </w:tcPr>
          <w:p w14:paraId="50B1EBED"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87%</w:t>
            </w:r>
          </w:p>
        </w:tc>
      </w:tr>
      <w:tr w:rsidR="005068EE" w:rsidRPr="005068EE" w14:paraId="5981EA87" w14:textId="77777777" w:rsidTr="005068EE">
        <w:tc>
          <w:tcPr>
            <w:tcW w:w="992" w:type="dxa"/>
          </w:tcPr>
          <w:p w14:paraId="36D1FD10"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2017</w:t>
            </w:r>
          </w:p>
        </w:tc>
        <w:tc>
          <w:tcPr>
            <w:tcW w:w="1418" w:type="dxa"/>
          </w:tcPr>
          <w:p w14:paraId="30E63132"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19%</w:t>
            </w:r>
          </w:p>
        </w:tc>
        <w:tc>
          <w:tcPr>
            <w:tcW w:w="992" w:type="dxa"/>
          </w:tcPr>
          <w:p w14:paraId="09FA119A"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87%</w:t>
            </w:r>
          </w:p>
        </w:tc>
      </w:tr>
      <w:tr w:rsidR="005068EE" w:rsidRPr="005068EE" w14:paraId="75554229" w14:textId="77777777" w:rsidTr="005068EE">
        <w:tc>
          <w:tcPr>
            <w:tcW w:w="992" w:type="dxa"/>
          </w:tcPr>
          <w:p w14:paraId="680F35FA"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2018</w:t>
            </w:r>
          </w:p>
        </w:tc>
        <w:tc>
          <w:tcPr>
            <w:tcW w:w="1418" w:type="dxa"/>
          </w:tcPr>
          <w:p w14:paraId="2A96981B"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18%</w:t>
            </w:r>
          </w:p>
        </w:tc>
        <w:tc>
          <w:tcPr>
            <w:tcW w:w="992" w:type="dxa"/>
          </w:tcPr>
          <w:p w14:paraId="6E5606F1"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79%</w:t>
            </w:r>
          </w:p>
        </w:tc>
      </w:tr>
      <w:tr w:rsidR="005068EE" w:rsidRPr="005068EE" w14:paraId="4E38D920" w14:textId="77777777" w:rsidTr="005068EE">
        <w:tc>
          <w:tcPr>
            <w:tcW w:w="992" w:type="dxa"/>
          </w:tcPr>
          <w:p w14:paraId="62D80D69"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2019</w:t>
            </w:r>
          </w:p>
        </w:tc>
        <w:tc>
          <w:tcPr>
            <w:tcW w:w="1418" w:type="dxa"/>
          </w:tcPr>
          <w:p w14:paraId="1587725A"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18%</w:t>
            </w:r>
          </w:p>
        </w:tc>
        <w:tc>
          <w:tcPr>
            <w:tcW w:w="992" w:type="dxa"/>
          </w:tcPr>
          <w:p w14:paraId="083AAE2E"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94%</w:t>
            </w:r>
          </w:p>
        </w:tc>
      </w:tr>
      <w:tr w:rsidR="005068EE" w:rsidRPr="005068EE" w14:paraId="7D67A7A0" w14:textId="77777777" w:rsidTr="005068EE">
        <w:tc>
          <w:tcPr>
            <w:tcW w:w="992" w:type="dxa"/>
          </w:tcPr>
          <w:p w14:paraId="75EE863A"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2020</w:t>
            </w:r>
          </w:p>
        </w:tc>
        <w:tc>
          <w:tcPr>
            <w:tcW w:w="1418" w:type="dxa"/>
          </w:tcPr>
          <w:p w14:paraId="5AA04499"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13%</w:t>
            </w:r>
          </w:p>
        </w:tc>
        <w:tc>
          <w:tcPr>
            <w:tcW w:w="992" w:type="dxa"/>
          </w:tcPr>
          <w:p w14:paraId="51748037"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94%</w:t>
            </w:r>
          </w:p>
        </w:tc>
      </w:tr>
      <w:tr w:rsidR="005068EE" w:rsidRPr="005068EE" w14:paraId="2814ABE5" w14:textId="77777777" w:rsidTr="005068EE">
        <w:tc>
          <w:tcPr>
            <w:tcW w:w="992" w:type="dxa"/>
          </w:tcPr>
          <w:p w14:paraId="0C96A9AD"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2021</w:t>
            </w:r>
          </w:p>
        </w:tc>
        <w:tc>
          <w:tcPr>
            <w:tcW w:w="1418" w:type="dxa"/>
          </w:tcPr>
          <w:p w14:paraId="0AF811C4"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19%</w:t>
            </w:r>
          </w:p>
        </w:tc>
        <w:tc>
          <w:tcPr>
            <w:tcW w:w="992" w:type="dxa"/>
          </w:tcPr>
          <w:p w14:paraId="69CE3D5B"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74%</w:t>
            </w:r>
          </w:p>
        </w:tc>
      </w:tr>
      <w:tr w:rsidR="005068EE" w:rsidRPr="005068EE" w14:paraId="79F296FD" w14:textId="77777777" w:rsidTr="005068EE">
        <w:tc>
          <w:tcPr>
            <w:tcW w:w="992" w:type="dxa"/>
          </w:tcPr>
          <w:p w14:paraId="3C132FE2"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2022</w:t>
            </w:r>
          </w:p>
        </w:tc>
        <w:tc>
          <w:tcPr>
            <w:tcW w:w="1418" w:type="dxa"/>
          </w:tcPr>
          <w:p w14:paraId="4720B3B6"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24%</w:t>
            </w:r>
          </w:p>
        </w:tc>
        <w:tc>
          <w:tcPr>
            <w:tcW w:w="992" w:type="dxa"/>
          </w:tcPr>
          <w:p w14:paraId="4C9B3950" w14:textId="77777777" w:rsidR="005068EE" w:rsidRPr="005068EE" w:rsidRDefault="005068EE" w:rsidP="005068EE">
            <w:pPr>
              <w:spacing w:line="240" w:lineRule="auto"/>
              <w:jc w:val="center"/>
              <w:rPr>
                <w:rFonts w:asciiTheme="minorHAnsi" w:hAnsiTheme="minorHAnsi"/>
                <w:sz w:val="22"/>
              </w:rPr>
            </w:pPr>
            <w:r w:rsidRPr="005068EE">
              <w:rPr>
                <w:rFonts w:asciiTheme="minorHAnsi" w:hAnsiTheme="minorHAnsi"/>
                <w:sz w:val="22"/>
              </w:rPr>
              <w:t>92%</w:t>
            </w:r>
          </w:p>
        </w:tc>
      </w:tr>
    </w:tbl>
    <w:p w14:paraId="7B3C67D6" w14:textId="77777777" w:rsidR="005068EE" w:rsidRDefault="005068EE"/>
    <w:p w14:paraId="7DF70F52" w14:textId="45CF0E30" w:rsidR="005068EE" w:rsidRDefault="005068EE">
      <w:r w:rsidRPr="005068EE">
        <w:t>Classement région Sud-Est de l’Etudiant (HEC, ESSEC, ESCP BS, EMLyon, EDHEC, ENS Paris-Saclay, Ensae, Saint-Cyr, Audencia, Grenoble École de Management, Neoma, Skema, Toulouse Business School</w:t>
      </w:r>
    </w:p>
    <w:p w14:paraId="038DEE80" w14:textId="2974603E" w:rsidR="005068EE" w:rsidRDefault="005068EE">
      <w:r>
        <w:rPr>
          <w:noProof/>
        </w:rPr>
        <w:drawing>
          <wp:inline distT="0" distB="0" distL="0" distR="0" wp14:anchorId="12257878" wp14:editId="2F16A7CE">
            <wp:extent cx="3810000" cy="3258323"/>
            <wp:effectExtent l="0" t="0" r="0" b="0"/>
            <wp:docPr id="234177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7603" cy="3264825"/>
                    </a:xfrm>
                    <a:prstGeom prst="rect">
                      <a:avLst/>
                    </a:prstGeom>
                    <a:noFill/>
                  </pic:spPr>
                </pic:pic>
              </a:graphicData>
            </a:graphic>
          </wp:inline>
        </w:drawing>
      </w:r>
    </w:p>
    <w:p w14:paraId="6D04DCAA" w14:textId="6E925C4B" w:rsidR="00C83D26" w:rsidRDefault="00C83D26"/>
    <w:p w14:paraId="7FEB90DE" w14:textId="229FCD3F" w:rsidR="00C83D26" w:rsidRDefault="00C83D26" w:rsidP="00C83D26">
      <w:pPr>
        <w:pStyle w:val="Titre1"/>
      </w:pPr>
      <w:r>
        <w:t>L</w:t>
      </w:r>
      <w:r w:rsidR="005068EE">
        <w:t>a</w:t>
      </w:r>
      <w:r>
        <w:t xml:space="preserve"> journée « Portes Ouvertes »</w:t>
      </w:r>
    </w:p>
    <w:p w14:paraId="1BEAB261" w14:textId="1386A28D" w:rsidR="00CE6F53" w:rsidRDefault="00CE6F53" w:rsidP="006E48F6">
      <w:r>
        <w:t xml:space="preserve">La réunion </w:t>
      </w:r>
      <w:r w:rsidR="005068EE">
        <w:t xml:space="preserve">de présentation de la prépa </w:t>
      </w:r>
      <w:r>
        <w:t xml:space="preserve">se tiendra </w:t>
      </w:r>
      <w:r w:rsidR="006E48F6" w:rsidRPr="006E48F6">
        <w:rPr>
          <w:b/>
          <w:bCs/>
        </w:rPr>
        <w:t>le samedi 1</w:t>
      </w:r>
      <w:r w:rsidR="006E48F6">
        <w:rPr>
          <w:b/>
          <w:bCs/>
        </w:rPr>
        <w:t>7</w:t>
      </w:r>
      <w:r w:rsidR="006E48F6" w:rsidRPr="006E48F6">
        <w:rPr>
          <w:b/>
          <w:bCs/>
        </w:rPr>
        <w:t xml:space="preserve"> février 2024 de 10h à 12h</w:t>
      </w:r>
      <w:r w:rsidR="006E48F6">
        <w:t xml:space="preserve"> </w:t>
      </w:r>
      <w:r>
        <w:t>dans la salle ECG1 au quatrième étage du bâtiment C. Il sera possible de se garer au sein de l’établissement.</w:t>
      </w:r>
    </w:p>
    <w:p w14:paraId="2C45FB7E" w14:textId="77777777" w:rsidR="00CE6F53" w:rsidRDefault="00CE6F53" w:rsidP="0095655F">
      <w:pPr>
        <w:ind w:firstLine="708"/>
      </w:pPr>
    </w:p>
    <w:p w14:paraId="1EF4D9D0" w14:textId="002D1D3A" w:rsidR="0095655F" w:rsidRDefault="006E52CC" w:rsidP="0095655F">
      <w:r>
        <w:t>Cette invitation à venir échanger avec les professeurs de la classe préparatoire du lycée ne concerne pas uniquement les élèves de terminale, mais plus généralement toute personne, élève ou parent, qui serait intéressée par des renseignements sur les études secondaires le plus en adéquation avec la formation que nous proposons.</w:t>
      </w:r>
    </w:p>
    <w:p w14:paraId="7618A051" w14:textId="77777777" w:rsidR="006E48F6" w:rsidRDefault="006E48F6" w:rsidP="0095655F"/>
    <w:p w14:paraId="22429C6D" w14:textId="21EEFE00" w:rsidR="00984A66" w:rsidRDefault="006E48F6" w:rsidP="002E2DEE">
      <w:r>
        <w:t>Si vous êtes intéressé par une journée d’immersion</w:t>
      </w:r>
      <w:r w:rsidRPr="006E48F6">
        <w:t>, prenez contact avec l</w:t>
      </w:r>
      <w:r>
        <w:t>a responsable de la première année</w:t>
      </w:r>
      <w:r w:rsidRPr="006E48F6">
        <w:t xml:space="preserve"> de la CPGE: </w:t>
      </w:r>
      <w:r>
        <w:t>nat.gineste@orange.fr</w:t>
      </w:r>
    </w:p>
    <w:p w14:paraId="55A620D8" w14:textId="62639B1D" w:rsidR="002E2DEE" w:rsidRPr="00984A66" w:rsidRDefault="002E2DEE" w:rsidP="00984A66">
      <w:pPr>
        <w:jc w:val="right"/>
        <w:rPr>
          <w:b/>
          <w:bCs/>
        </w:rPr>
      </w:pPr>
      <w:r w:rsidRPr="00984A66">
        <w:rPr>
          <w:b/>
          <w:bCs/>
        </w:rPr>
        <w:t>L’équipe de la CPGE ECG du lycée Saint-Charles.</w:t>
      </w:r>
    </w:p>
    <w:sectPr w:rsidR="002E2DEE" w:rsidRPr="00984A66" w:rsidSect="00C83D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M Roman 12">
    <w:altName w:val="Calibri"/>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2466E"/>
    <w:multiLevelType w:val="hybridMultilevel"/>
    <w:tmpl w:val="FFF4E720"/>
    <w:lvl w:ilvl="0" w:tplc="66124A12">
      <w:numFmt w:val="bullet"/>
      <w:lvlText w:val="-"/>
      <w:lvlJc w:val="left"/>
      <w:pPr>
        <w:ind w:left="720" w:hanging="360"/>
      </w:pPr>
      <w:rPr>
        <w:rFonts w:ascii="LM Roman 12" w:eastAsiaTheme="minorHAnsi" w:hAnsi="LM Roman 1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F94DC8"/>
    <w:multiLevelType w:val="hybridMultilevel"/>
    <w:tmpl w:val="9D5E883E"/>
    <w:lvl w:ilvl="0" w:tplc="D3B08292">
      <w:numFmt w:val="bullet"/>
      <w:lvlText w:val="-"/>
      <w:lvlJc w:val="left"/>
      <w:pPr>
        <w:ind w:left="720" w:hanging="360"/>
      </w:pPr>
      <w:rPr>
        <w:rFonts w:ascii="LM Roman 12" w:eastAsiaTheme="minorHAnsi" w:hAnsi="LM Roman 1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A45D54"/>
    <w:multiLevelType w:val="hybridMultilevel"/>
    <w:tmpl w:val="1B76F1B2"/>
    <w:lvl w:ilvl="0" w:tplc="3D16E642">
      <w:numFmt w:val="bullet"/>
      <w:lvlText w:val="-"/>
      <w:lvlJc w:val="left"/>
      <w:pPr>
        <w:ind w:left="720" w:hanging="360"/>
      </w:pPr>
      <w:rPr>
        <w:rFonts w:ascii="LM Roman 12" w:eastAsiaTheme="minorHAnsi" w:hAnsi="LM Roman 1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119947">
    <w:abstractNumId w:val="0"/>
  </w:num>
  <w:num w:numId="2" w16cid:durableId="794643978">
    <w:abstractNumId w:val="2"/>
  </w:num>
  <w:num w:numId="3" w16cid:durableId="74009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F"/>
    <w:rsid w:val="0000660C"/>
    <w:rsid w:val="00032CA9"/>
    <w:rsid w:val="00065505"/>
    <w:rsid w:val="00070EFD"/>
    <w:rsid w:val="000C2D0E"/>
    <w:rsid w:val="000E20B4"/>
    <w:rsid w:val="000F53A1"/>
    <w:rsid w:val="00133B7D"/>
    <w:rsid w:val="001607E6"/>
    <w:rsid w:val="001751D5"/>
    <w:rsid w:val="001B1D8B"/>
    <w:rsid w:val="001B23A7"/>
    <w:rsid w:val="00224E05"/>
    <w:rsid w:val="00287F69"/>
    <w:rsid w:val="002B7089"/>
    <w:rsid w:val="002C31F0"/>
    <w:rsid w:val="002E2DEE"/>
    <w:rsid w:val="00316FB0"/>
    <w:rsid w:val="00317B39"/>
    <w:rsid w:val="00323134"/>
    <w:rsid w:val="00356805"/>
    <w:rsid w:val="00375EDF"/>
    <w:rsid w:val="003822E2"/>
    <w:rsid w:val="003A0207"/>
    <w:rsid w:val="003A15AC"/>
    <w:rsid w:val="003A2A03"/>
    <w:rsid w:val="003A5E27"/>
    <w:rsid w:val="003C447E"/>
    <w:rsid w:val="003F4FCE"/>
    <w:rsid w:val="003F5F29"/>
    <w:rsid w:val="00403612"/>
    <w:rsid w:val="004040F8"/>
    <w:rsid w:val="00412CD0"/>
    <w:rsid w:val="00424F2B"/>
    <w:rsid w:val="00440B77"/>
    <w:rsid w:val="00444129"/>
    <w:rsid w:val="00486BCF"/>
    <w:rsid w:val="00490F82"/>
    <w:rsid w:val="00494A9F"/>
    <w:rsid w:val="004B2F5D"/>
    <w:rsid w:val="005068EE"/>
    <w:rsid w:val="0051121C"/>
    <w:rsid w:val="005152ED"/>
    <w:rsid w:val="0053576A"/>
    <w:rsid w:val="0054716D"/>
    <w:rsid w:val="00571144"/>
    <w:rsid w:val="00590D9A"/>
    <w:rsid w:val="005957DE"/>
    <w:rsid w:val="005B41C9"/>
    <w:rsid w:val="005C2814"/>
    <w:rsid w:val="005D63CF"/>
    <w:rsid w:val="005F479E"/>
    <w:rsid w:val="00617320"/>
    <w:rsid w:val="00623D0F"/>
    <w:rsid w:val="0063218B"/>
    <w:rsid w:val="00632A32"/>
    <w:rsid w:val="00646A47"/>
    <w:rsid w:val="006471B7"/>
    <w:rsid w:val="006622D8"/>
    <w:rsid w:val="00671CB0"/>
    <w:rsid w:val="006B5B70"/>
    <w:rsid w:val="006D05E8"/>
    <w:rsid w:val="006D0894"/>
    <w:rsid w:val="006D12A7"/>
    <w:rsid w:val="006E48F6"/>
    <w:rsid w:val="006E52CC"/>
    <w:rsid w:val="006F3D7D"/>
    <w:rsid w:val="00722498"/>
    <w:rsid w:val="00786017"/>
    <w:rsid w:val="007A6FC0"/>
    <w:rsid w:val="007C192D"/>
    <w:rsid w:val="007E2CB3"/>
    <w:rsid w:val="007F3120"/>
    <w:rsid w:val="00810D73"/>
    <w:rsid w:val="00817F98"/>
    <w:rsid w:val="00830182"/>
    <w:rsid w:val="008353C6"/>
    <w:rsid w:val="00841128"/>
    <w:rsid w:val="008554B4"/>
    <w:rsid w:val="00862D9B"/>
    <w:rsid w:val="00872F20"/>
    <w:rsid w:val="008803A4"/>
    <w:rsid w:val="00885D7A"/>
    <w:rsid w:val="00886891"/>
    <w:rsid w:val="00887CBF"/>
    <w:rsid w:val="00891200"/>
    <w:rsid w:val="00892658"/>
    <w:rsid w:val="008D26AC"/>
    <w:rsid w:val="008D7482"/>
    <w:rsid w:val="00924693"/>
    <w:rsid w:val="00937C13"/>
    <w:rsid w:val="009445EC"/>
    <w:rsid w:val="0095655F"/>
    <w:rsid w:val="00962BB6"/>
    <w:rsid w:val="00984A66"/>
    <w:rsid w:val="009B504C"/>
    <w:rsid w:val="009C7A22"/>
    <w:rsid w:val="009D0230"/>
    <w:rsid w:val="009E1559"/>
    <w:rsid w:val="00A104C1"/>
    <w:rsid w:val="00A153AF"/>
    <w:rsid w:val="00A750E0"/>
    <w:rsid w:val="00A85DF9"/>
    <w:rsid w:val="00AA0FFE"/>
    <w:rsid w:val="00AB7970"/>
    <w:rsid w:val="00B14CFE"/>
    <w:rsid w:val="00B26782"/>
    <w:rsid w:val="00B31BF1"/>
    <w:rsid w:val="00B5011A"/>
    <w:rsid w:val="00B61863"/>
    <w:rsid w:val="00B97948"/>
    <w:rsid w:val="00BD771D"/>
    <w:rsid w:val="00C00B7A"/>
    <w:rsid w:val="00C01F3E"/>
    <w:rsid w:val="00C2690D"/>
    <w:rsid w:val="00C83D26"/>
    <w:rsid w:val="00CC21D8"/>
    <w:rsid w:val="00CE585E"/>
    <w:rsid w:val="00CE6F53"/>
    <w:rsid w:val="00CF23E0"/>
    <w:rsid w:val="00CF6A3C"/>
    <w:rsid w:val="00CF6CA0"/>
    <w:rsid w:val="00D14E7D"/>
    <w:rsid w:val="00D43E22"/>
    <w:rsid w:val="00D84892"/>
    <w:rsid w:val="00DD4452"/>
    <w:rsid w:val="00DE5D53"/>
    <w:rsid w:val="00DF2989"/>
    <w:rsid w:val="00DF7371"/>
    <w:rsid w:val="00E27E52"/>
    <w:rsid w:val="00E72AB7"/>
    <w:rsid w:val="00E7397E"/>
    <w:rsid w:val="00E74E6B"/>
    <w:rsid w:val="00E9226F"/>
    <w:rsid w:val="00EB0176"/>
    <w:rsid w:val="00EB444C"/>
    <w:rsid w:val="00EB7B42"/>
    <w:rsid w:val="00ED73C1"/>
    <w:rsid w:val="00F03F36"/>
    <w:rsid w:val="00F110B8"/>
    <w:rsid w:val="00F204F7"/>
    <w:rsid w:val="00F45979"/>
    <w:rsid w:val="00F715CC"/>
    <w:rsid w:val="00FB0826"/>
    <w:rsid w:val="00FE492D"/>
    <w:rsid w:val="00FF2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82AF5B"/>
  <w15:chartTrackingRefBased/>
  <w15:docId w15:val="{9A6DABDD-6213-4C9B-B9E5-6D04D6F2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69"/>
    <w:pPr>
      <w:spacing w:after="0" w:line="300" w:lineRule="auto"/>
      <w:jc w:val="both"/>
    </w:pPr>
    <w:rPr>
      <w:rFonts w:ascii="LM Roman 12" w:hAnsi="LM Roman 12"/>
      <w:sz w:val="24"/>
    </w:rPr>
  </w:style>
  <w:style w:type="paragraph" w:styleId="Titre1">
    <w:name w:val="heading 1"/>
    <w:basedOn w:val="Normal"/>
    <w:next w:val="Normal"/>
    <w:link w:val="Titre1Car"/>
    <w:uiPriority w:val="9"/>
    <w:qFormat/>
    <w:rsid w:val="00786017"/>
    <w:pPr>
      <w:keepNext/>
      <w:keepLines/>
      <w:outlineLvl w:val="0"/>
    </w:pPr>
    <w:rPr>
      <w:rFonts w:asciiTheme="majorHAnsi" w:eastAsiaTheme="majorEastAsia" w:hAnsiTheme="majorHAnsi" w:cstheme="majorBidi"/>
      <w:b/>
      <w:bC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6017"/>
    <w:rPr>
      <w:rFonts w:asciiTheme="majorHAnsi" w:eastAsiaTheme="majorEastAsia" w:hAnsiTheme="majorHAnsi" w:cstheme="majorBidi"/>
      <w:b/>
      <w:bCs/>
      <w:color w:val="2F5496" w:themeColor="accent1" w:themeShade="BF"/>
      <w:sz w:val="32"/>
      <w:szCs w:val="32"/>
    </w:rPr>
  </w:style>
  <w:style w:type="character" w:styleId="Lienhypertexte">
    <w:name w:val="Hyperlink"/>
    <w:basedOn w:val="Policepardfaut"/>
    <w:uiPriority w:val="99"/>
    <w:unhideWhenUsed/>
    <w:rsid w:val="00C83D26"/>
    <w:rPr>
      <w:color w:val="0563C1" w:themeColor="hyperlink"/>
      <w:u w:val="single"/>
    </w:rPr>
  </w:style>
  <w:style w:type="character" w:styleId="Mentionnonrsolue">
    <w:name w:val="Unresolved Mention"/>
    <w:basedOn w:val="Policepardfaut"/>
    <w:uiPriority w:val="99"/>
    <w:semiHidden/>
    <w:unhideWhenUsed/>
    <w:rsid w:val="00C83D26"/>
    <w:rPr>
      <w:color w:val="605E5C"/>
      <w:shd w:val="clear" w:color="auto" w:fill="E1DFDD"/>
    </w:rPr>
  </w:style>
  <w:style w:type="character" w:styleId="Lienhypertextesuivivisit">
    <w:name w:val="FollowedHyperlink"/>
    <w:basedOn w:val="Policepardfaut"/>
    <w:uiPriority w:val="99"/>
    <w:semiHidden/>
    <w:unhideWhenUsed/>
    <w:rsid w:val="005F479E"/>
    <w:rPr>
      <w:color w:val="954F72" w:themeColor="followedHyperlink"/>
      <w:u w:val="single"/>
    </w:rPr>
  </w:style>
  <w:style w:type="paragraph" w:styleId="Titre">
    <w:name w:val="Title"/>
    <w:basedOn w:val="Normal"/>
    <w:next w:val="Normal"/>
    <w:link w:val="TitreCar"/>
    <w:uiPriority w:val="10"/>
    <w:qFormat/>
    <w:rsid w:val="002C31F0"/>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C31F0"/>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95655F"/>
    <w:pPr>
      <w:ind w:left="720"/>
      <w:contextualSpacing/>
    </w:pPr>
  </w:style>
  <w:style w:type="character" w:styleId="Marquedecommentaire">
    <w:name w:val="annotation reference"/>
    <w:basedOn w:val="Policepardfaut"/>
    <w:uiPriority w:val="99"/>
    <w:semiHidden/>
    <w:unhideWhenUsed/>
    <w:rsid w:val="0095655F"/>
    <w:rPr>
      <w:sz w:val="16"/>
      <w:szCs w:val="16"/>
    </w:rPr>
  </w:style>
  <w:style w:type="paragraph" w:styleId="Commentaire">
    <w:name w:val="annotation text"/>
    <w:basedOn w:val="Normal"/>
    <w:link w:val="CommentaireCar"/>
    <w:uiPriority w:val="99"/>
    <w:semiHidden/>
    <w:unhideWhenUsed/>
    <w:rsid w:val="0095655F"/>
    <w:pPr>
      <w:spacing w:line="240" w:lineRule="auto"/>
    </w:pPr>
    <w:rPr>
      <w:sz w:val="20"/>
      <w:szCs w:val="20"/>
    </w:rPr>
  </w:style>
  <w:style w:type="character" w:customStyle="1" w:styleId="CommentaireCar">
    <w:name w:val="Commentaire Car"/>
    <w:basedOn w:val="Policepardfaut"/>
    <w:link w:val="Commentaire"/>
    <w:uiPriority w:val="99"/>
    <w:semiHidden/>
    <w:rsid w:val="0095655F"/>
    <w:rPr>
      <w:rFonts w:ascii="LM Roman 12" w:hAnsi="LM Roman 12"/>
      <w:sz w:val="20"/>
      <w:szCs w:val="20"/>
    </w:rPr>
  </w:style>
  <w:style w:type="paragraph" w:styleId="Objetducommentaire">
    <w:name w:val="annotation subject"/>
    <w:basedOn w:val="Commentaire"/>
    <w:next w:val="Commentaire"/>
    <w:link w:val="ObjetducommentaireCar"/>
    <w:uiPriority w:val="99"/>
    <w:semiHidden/>
    <w:unhideWhenUsed/>
    <w:rsid w:val="0095655F"/>
    <w:rPr>
      <w:b/>
      <w:bCs/>
    </w:rPr>
  </w:style>
  <w:style w:type="character" w:customStyle="1" w:styleId="ObjetducommentaireCar">
    <w:name w:val="Objet du commentaire Car"/>
    <w:basedOn w:val="CommentaireCar"/>
    <w:link w:val="Objetducommentaire"/>
    <w:uiPriority w:val="99"/>
    <w:semiHidden/>
    <w:rsid w:val="0095655F"/>
    <w:rPr>
      <w:rFonts w:ascii="LM Roman 12" w:hAnsi="LM Roman 12"/>
      <w:b/>
      <w:bCs/>
      <w:sz w:val="20"/>
      <w:szCs w:val="20"/>
    </w:rPr>
  </w:style>
  <w:style w:type="paragraph" w:styleId="Rvision">
    <w:name w:val="Revision"/>
    <w:hidden/>
    <w:uiPriority w:val="99"/>
    <w:semiHidden/>
    <w:rsid w:val="00841128"/>
    <w:pPr>
      <w:spacing w:after="0" w:line="240" w:lineRule="auto"/>
    </w:pPr>
    <w:rPr>
      <w:rFonts w:ascii="LM Roman 12" w:hAnsi="LM Roman 12"/>
      <w:sz w:val="24"/>
    </w:rPr>
  </w:style>
  <w:style w:type="table" w:styleId="Grilledutableau">
    <w:name w:val="Table Grid"/>
    <w:basedOn w:val="TableauNormal"/>
    <w:uiPriority w:val="39"/>
    <w:rsid w:val="005068E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Egger</dc:creator>
  <cp:keywords/>
  <dc:description/>
  <cp:lastModifiedBy>clélia clélia</cp:lastModifiedBy>
  <cp:revision>4</cp:revision>
  <dcterms:created xsi:type="dcterms:W3CDTF">2023-12-08T11:00:00Z</dcterms:created>
  <dcterms:modified xsi:type="dcterms:W3CDTF">2023-12-10T17:03:00Z</dcterms:modified>
</cp:coreProperties>
</file>